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5EF083">
      <w:pPr>
        <w:spacing w:after="0"/>
        <w:rPr>
          <w:rFonts w:ascii="Times New Roman" w:hAnsi="Times New Roman" w:eastAsia="方正黑体_GBK"/>
          <w:bCs/>
          <w:sz w:val="32"/>
          <w:szCs w:val="32"/>
        </w:rPr>
      </w:pPr>
      <w:r>
        <w:rPr>
          <w:rFonts w:hint="eastAsia" w:ascii="Times New Roman" w:hAnsi="Times New Roman" w:eastAsia="方正黑体_GBK"/>
          <w:bCs/>
          <w:sz w:val="32"/>
          <w:szCs w:val="32"/>
        </w:rPr>
        <w:t>附件</w:t>
      </w:r>
      <w:r>
        <w:rPr>
          <w:rFonts w:ascii="Times New Roman" w:hAnsi="Times New Roman" w:eastAsia="方正黑体_GBK" w:cs="Times New Roman"/>
          <w:bCs/>
          <w:sz w:val="32"/>
          <w:szCs w:val="32"/>
        </w:rPr>
        <w:t>4</w:t>
      </w:r>
    </w:p>
    <w:p w14:paraId="495C805A">
      <w:pPr>
        <w:spacing w:after="0" w:line="600" w:lineRule="exact"/>
        <w:jc w:val="center"/>
        <w:rPr>
          <w:rFonts w:hint="eastAsia"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重庆新闻奖参评作品推荐表</w:t>
      </w:r>
    </w:p>
    <w:tbl>
      <w:tblPr>
        <w:tblStyle w:val="10"/>
        <w:tblW w:w="10348" w:type="dxa"/>
        <w:tblInd w:w="-4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24"/>
        <w:gridCol w:w="1571"/>
        <w:gridCol w:w="26"/>
        <w:gridCol w:w="784"/>
        <w:gridCol w:w="21"/>
        <w:gridCol w:w="166"/>
        <w:gridCol w:w="963"/>
        <w:gridCol w:w="322"/>
        <w:gridCol w:w="1284"/>
        <w:gridCol w:w="91"/>
        <w:gridCol w:w="914"/>
        <w:gridCol w:w="280"/>
        <w:gridCol w:w="2102"/>
      </w:tblGrid>
      <w:tr w14:paraId="6158EC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7" w:hRule="exact"/>
        </w:trPr>
        <w:tc>
          <w:tcPr>
            <w:tcW w:w="1824" w:type="dxa"/>
            <w:vAlign w:val="center"/>
          </w:tcPr>
          <w:p w14:paraId="0F25FDCF">
            <w:pPr>
              <w:spacing w:after="0" w:line="38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作品标题</w:t>
            </w:r>
          </w:p>
        </w:tc>
        <w:tc>
          <w:tcPr>
            <w:tcW w:w="3531" w:type="dxa"/>
            <w:gridSpan w:val="6"/>
            <w:vAlign w:val="center"/>
          </w:tcPr>
          <w:p w14:paraId="5D82902B">
            <w:pPr>
              <w:spacing w:after="0" w:line="260" w:lineRule="exact"/>
              <w:rPr>
                <w:rFonts w:ascii="Times New Roman" w:hAnsi="Times New Roman" w:eastAsia="华文中宋"/>
                <w:sz w:val="28"/>
              </w:rPr>
            </w:pPr>
            <w:r>
              <w:rPr>
                <w:rFonts w:hint="eastAsia" w:ascii="Times New Roman"/>
                <w:sz w:val="24"/>
              </w:rPr>
              <w:t>一件“传家宝” 几代红色情</w:t>
            </w:r>
          </w:p>
        </w:tc>
        <w:tc>
          <w:tcPr>
            <w:tcW w:w="1697" w:type="dxa"/>
            <w:gridSpan w:val="3"/>
            <w:vAlign w:val="center"/>
          </w:tcPr>
          <w:p w14:paraId="32A48C23">
            <w:pPr>
              <w:spacing w:after="0" w:line="38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参评项目</w:t>
            </w:r>
          </w:p>
        </w:tc>
        <w:tc>
          <w:tcPr>
            <w:tcW w:w="3296" w:type="dxa"/>
            <w:gridSpan w:val="3"/>
            <w:vAlign w:val="center"/>
          </w:tcPr>
          <w:p w14:paraId="1236D648">
            <w:pPr>
              <w:spacing w:after="0" w:line="260" w:lineRule="exact"/>
              <w:rPr>
                <w:rFonts w:hint="eastAsia" w:ascii="Times New Roman" w:hAnsi="Times New Roman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/>
                <w:sz w:val="24"/>
                <w:lang w:eastAsia="zh-CN"/>
              </w:rPr>
              <w:t>基础类</w:t>
            </w:r>
          </w:p>
        </w:tc>
      </w:tr>
      <w:tr w14:paraId="6A5B84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1" w:hRule="exact"/>
        </w:trPr>
        <w:tc>
          <w:tcPr>
            <w:tcW w:w="1824" w:type="dxa"/>
            <w:vMerge w:val="restart"/>
            <w:vAlign w:val="center"/>
          </w:tcPr>
          <w:p w14:paraId="39E0A78D">
            <w:pPr>
              <w:spacing w:after="0" w:line="38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ascii="Times New Roman" w:hAnsi="Times New Roman" w:eastAsia="方正黑体_GBK" w:cs="方正黑体_GBK"/>
                <w:sz w:val="28"/>
              </w:rPr>
              <w:t>字数</w:t>
            </w:r>
            <w:r>
              <w:rPr>
                <w:rFonts w:hint="eastAsia" w:ascii="Times New Roman" w:hAnsi="Times New Roman" w:eastAsia="方正黑体_GBK" w:cs="方正黑体_GBK"/>
                <w:sz w:val="28"/>
              </w:rPr>
              <w:t>/时长</w:t>
            </w:r>
          </w:p>
        </w:tc>
        <w:tc>
          <w:tcPr>
            <w:tcW w:w="3531" w:type="dxa"/>
            <w:gridSpan w:val="6"/>
            <w:vMerge w:val="restart"/>
            <w:vAlign w:val="center"/>
          </w:tcPr>
          <w:p w14:paraId="0F9CCC32">
            <w:pPr>
              <w:spacing w:after="0" w:line="300" w:lineRule="exact"/>
              <w:rPr>
                <w:rFonts w:hint="default" w:ascii="Times New Roman" w:hAnsi="Times New Roman" w:eastAsia="华文中宋"/>
                <w:sz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/>
                <w:spacing w:val="21"/>
                <w:sz w:val="24"/>
                <w:lang w:val="en-US" w:eastAsia="zh-CN"/>
              </w:rPr>
              <w:t>3981字</w:t>
            </w:r>
          </w:p>
        </w:tc>
        <w:tc>
          <w:tcPr>
            <w:tcW w:w="1697" w:type="dxa"/>
            <w:gridSpan w:val="3"/>
            <w:vAlign w:val="center"/>
          </w:tcPr>
          <w:p w14:paraId="3CB730E3">
            <w:pPr>
              <w:spacing w:after="0" w:line="38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体裁</w:t>
            </w:r>
          </w:p>
        </w:tc>
        <w:tc>
          <w:tcPr>
            <w:tcW w:w="3296" w:type="dxa"/>
            <w:gridSpan w:val="3"/>
            <w:vAlign w:val="center"/>
          </w:tcPr>
          <w:p w14:paraId="7318734A">
            <w:pPr>
              <w:spacing w:after="0" w:line="260" w:lineRule="exact"/>
              <w:rPr>
                <w:rFonts w:hint="default" w:ascii="Times New Roman" w:hAnsi="Times New Roman" w:eastAsia="方正仿宋_GBK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eastAsia="方正仿宋_GBK"/>
                <w:spacing w:val="14"/>
                <w:sz w:val="24"/>
                <w:lang w:val="en-US" w:eastAsia="zh-CN"/>
              </w:rPr>
              <w:t>通迅</w:t>
            </w:r>
          </w:p>
        </w:tc>
      </w:tr>
      <w:tr w14:paraId="518C2E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9" w:hRule="exact"/>
        </w:trPr>
        <w:tc>
          <w:tcPr>
            <w:tcW w:w="1824" w:type="dxa"/>
            <w:vMerge w:val="continue"/>
            <w:vAlign w:val="center"/>
          </w:tcPr>
          <w:p w14:paraId="5B24184F">
            <w:pPr>
              <w:spacing w:after="0" w:line="38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</w:p>
        </w:tc>
        <w:tc>
          <w:tcPr>
            <w:tcW w:w="3531" w:type="dxa"/>
            <w:gridSpan w:val="6"/>
            <w:vMerge w:val="continue"/>
            <w:vAlign w:val="center"/>
          </w:tcPr>
          <w:p w14:paraId="2182E9E2">
            <w:pPr>
              <w:spacing w:after="0" w:line="320" w:lineRule="exact"/>
              <w:rPr>
                <w:rFonts w:ascii="Times New Roman" w:hAnsi="Times New Roman" w:eastAsia="方正仿宋_GBK" w:cs="仿宋"/>
                <w:sz w:val="24"/>
                <w:szCs w:val="18"/>
              </w:rPr>
            </w:pPr>
          </w:p>
        </w:tc>
        <w:tc>
          <w:tcPr>
            <w:tcW w:w="1697" w:type="dxa"/>
            <w:gridSpan w:val="3"/>
            <w:vAlign w:val="center"/>
          </w:tcPr>
          <w:p w14:paraId="6B321FEA">
            <w:pPr>
              <w:spacing w:after="0" w:line="38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语种</w:t>
            </w:r>
          </w:p>
        </w:tc>
        <w:tc>
          <w:tcPr>
            <w:tcW w:w="3296" w:type="dxa"/>
            <w:gridSpan w:val="3"/>
            <w:vAlign w:val="center"/>
          </w:tcPr>
          <w:p w14:paraId="598AB644">
            <w:pPr>
              <w:spacing w:after="0" w:line="240" w:lineRule="atLeast"/>
              <w:rPr>
                <w:rFonts w:hint="eastAsia" w:ascii="Times New Roman" w:hAnsi="Times New Roman" w:eastAsia="宋体"/>
                <w:sz w:val="28"/>
                <w:lang w:val="en-US" w:eastAsia="zh-CN"/>
              </w:rPr>
            </w:pPr>
            <w:r>
              <w:rPr>
                <w:rFonts w:hint="eastAsia" w:ascii="Times New Roman"/>
                <w:sz w:val="24"/>
                <w:lang w:val="en-US" w:eastAsia="zh-CN"/>
              </w:rPr>
              <w:t>汉语</w:t>
            </w:r>
          </w:p>
        </w:tc>
      </w:tr>
      <w:tr w14:paraId="2DBCC7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8" w:hRule="atLeast"/>
        </w:trPr>
        <w:tc>
          <w:tcPr>
            <w:tcW w:w="1824" w:type="dxa"/>
            <w:vAlign w:val="center"/>
          </w:tcPr>
          <w:p w14:paraId="42FE9E5D">
            <w:pPr>
              <w:spacing w:after="0" w:line="38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作  者</w:t>
            </w:r>
          </w:p>
          <w:p w14:paraId="02902F2A">
            <w:pPr>
              <w:spacing w:after="0" w:line="380" w:lineRule="exact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（主创人员）</w:t>
            </w:r>
          </w:p>
        </w:tc>
        <w:tc>
          <w:tcPr>
            <w:tcW w:w="2402" w:type="dxa"/>
            <w:gridSpan w:val="4"/>
            <w:vAlign w:val="center"/>
          </w:tcPr>
          <w:p w14:paraId="1DD940E9">
            <w:pPr>
              <w:spacing w:after="0" w:line="260" w:lineRule="exact"/>
              <w:rPr>
                <w:rFonts w:hint="default" w:ascii="Times New Roman" w:hAnsi="Times New Roman" w:eastAsia="方正仿宋_GBK"/>
                <w:sz w:val="28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汪登平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  <w:t xml:space="preserve"> 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杨承军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  <w:t xml:space="preserve"> 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龙秀莉</w:t>
            </w:r>
          </w:p>
        </w:tc>
        <w:tc>
          <w:tcPr>
            <w:tcW w:w="1129" w:type="dxa"/>
            <w:gridSpan w:val="2"/>
            <w:vAlign w:val="center"/>
          </w:tcPr>
          <w:p w14:paraId="7CEC0093">
            <w:pPr>
              <w:spacing w:after="0" w:line="38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编辑</w:t>
            </w:r>
          </w:p>
        </w:tc>
        <w:tc>
          <w:tcPr>
            <w:tcW w:w="4993" w:type="dxa"/>
            <w:gridSpan w:val="6"/>
            <w:vAlign w:val="center"/>
          </w:tcPr>
          <w:p w14:paraId="544669B9">
            <w:pPr>
              <w:spacing w:after="0" w:line="240" w:lineRule="exact"/>
              <w:rPr>
                <w:rFonts w:hint="default" w:ascii="Times New Roman" w:hAnsi="Times New Roman" w:eastAsia="方正仿宋_GBK"/>
                <w:w w:val="95"/>
                <w:szCs w:val="21"/>
                <w:lang w:val="en-US" w:eastAsia="zh-CN"/>
              </w:rPr>
            </w:pPr>
            <w:r>
              <w:rPr>
                <w:rFonts w:hint="eastAsia" w:ascii="方正仿宋_GBK" w:hAnsi="方正仿宋_GBK" w:eastAsia="方正仿宋_GBK"/>
                <w:spacing w:val="-18"/>
                <w:sz w:val="24"/>
                <w:lang w:val="en-US" w:eastAsia="zh-CN"/>
              </w:rPr>
              <w:t>付冲 田坤 陈永胜</w:t>
            </w:r>
          </w:p>
        </w:tc>
      </w:tr>
      <w:tr w14:paraId="22CD3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9" w:hRule="atLeast"/>
        </w:trPr>
        <w:tc>
          <w:tcPr>
            <w:tcW w:w="1824" w:type="dxa"/>
            <w:vAlign w:val="center"/>
          </w:tcPr>
          <w:p w14:paraId="1C8921CB">
            <w:pPr>
              <w:spacing w:after="0" w:line="38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原创单位</w:t>
            </w:r>
          </w:p>
        </w:tc>
        <w:tc>
          <w:tcPr>
            <w:tcW w:w="2402" w:type="dxa"/>
            <w:gridSpan w:val="4"/>
            <w:vAlign w:val="center"/>
          </w:tcPr>
          <w:p w14:paraId="19258A78">
            <w:pPr>
              <w:spacing w:after="0" w:line="260" w:lineRule="exact"/>
              <w:rPr>
                <w:rFonts w:hint="default" w:ascii="Times New Roman" w:hAnsi="Times New Roman" w:eastAsia="宋体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仿宋"/>
                <w:sz w:val="24"/>
                <w:szCs w:val="18"/>
                <w:lang w:val="en-US" w:eastAsia="zh-CN"/>
              </w:rPr>
              <w:t>秀山自治县融媒体中心</w:t>
            </w:r>
          </w:p>
        </w:tc>
        <w:tc>
          <w:tcPr>
            <w:tcW w:w="1129" w:type="dxa"/>
            <w:gridSpan w:val="2"/>
            <w:vAlign w:val="center"/>
          </w:tcPr>
          <w:p w14:paraId="0975F993">
            <w:pPr>
              <w:spacing w:after="0" w:line="380" w:lineRule="exact"/>
              <w:jc w:val="center"/>
              <w:rPr>
                <w:rFonts w:ascii="Times New Roman" w:hAnsi="Times New Roman" w:eastAsia="方正黑体_GBK" w:cs="方正黑体_GBK"/>
                <w:sz w:val="24"/>
              </w:rPr>
            </w:pPr>
            <w:r>
              <w:rPr>
                <w:rFonts w:hint="eastAsia" w:ascii="Times New Roman" w:hAnsi="Times New Roman" w:eastAsia="方正黑体_GBK" w:cs="方正黑体_GBK"/>
                <w:sz w:val="24"/>
              </w:rPr>
              <w:t>发布端/账号/媒体名称</w:t>
            </w:r>
          </w:p>
        </w:tc>
        <w:tc>
          <w:tcPr>
            <w:tcW w:w="4993" w:type="dxa"/>
            <w:gridSpan w:val="6"/>
            <w:vAlign w:val="center"/>
          </w:tcPr>
          <w:p w14:paraId="3DD95E9B">
            <w:pPr>
              <w:spacing w:after="0" w:line="260" w:lineRule="exact"/>
              <w:rPr>
                <w:rFonts w:hint="default" w:ascii="Times New Roman" w:hAnsi="Times New Roman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方正仿宋_GBK" w:cs="仿宋"/>
                <w:sz w:val="24"/>
                <w:szCs w:val="18"/>
                <w:lang w:val="en-US" w:eastAsia="zh-CN"/>
              </w:rPr>
              <w:t>以秀山报为主发布端，秀山网、翠翠秀山等平台作为新媒体端同步发布</w:t>
            </w:r>
          </w:p>
        </w:tc>
      </w:tr>
      <w:tr w14:paraId="23E201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0" w:hRule="exact"/>
        </w:trPr>
        <w:tc>
          <w:tcPr>
            <w:tcW w:w="1824" w:type="dxa"/>
            <w:vAlign w:val="center"/>
          </w:tcPr>
          <w:p w14:paraId="21757A95">
            <w:pPr>
              <w:spacing w:after="0" w:line="38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刊播版面</w:t>
            </w:r>
          </w:p>
          <w:p w14:paraId="61BE548B">
            <w:pPr>
              <w:spacing w:after="0" w:line="38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(名称和版次)</w:t>
            </w:r>
          </w:p>
        </w:tc>
        <w:tc>
          <w:tcPr>
            <w:tcW w:w="2402" w:type="dxa"/>
            <w:gridSpan w:val="4"/>
            <w:vAlign w:val="center"/>
          </w:tcPr>
          <w:p w14:paraId="5BB5F459">
            <w:pPr>
              <w:spacing w:after="0" w:line="260" w:lineRule="exact"/>
              <w:rPr>
                <w:rFonts w:hint="default" w:ascii="Times New Roman" w:hAnsi="Times New Roman" w:eastAsia="宋体"/>
                <w:szCs w:val="21"/>
                <w:lang w:val="en-US" w:eastAsia="zh-CN"/>
              </w:rPr>
            </w:pPr>
            <w:r>
              <w:rPr>
                <w:rFonts w:hint="eastAsia" w:ascii="方正仿宋_GBK" w:eastAsia="方正仿宋_GBK"/>
                <w:sz w:val="24"/>
                <w:lang w:eastAsia="zh-CN"/>
              </w:rPr>
              <w:t>《秀山报》</w:t>
            </w:r>
            <w:r>
              <w:rPr>
                <w:rFonts w:hint="eastAsia" w:ascii="方正仿宋_GBK" w:eastAsia="方正仿宋_GBK"/>
                <w:sz w:val="24"/>
                <w:lang w:val="en-US" w:eastAsia="zh-CN"/>
              </w:rPr>
              <w:t>2025年第30期（三、四版）</w:t>
            </w:r>
          </w:p>
        </w:tc>
        <w:tc>
          <w:tcPr>
            <w:tcW w:w="1129" w:type="dxa"/>
            <w:gridSpan w:val="2"/>
            <w:vAlign w:val="center"/>
          </w:tcPr>
          <w:p w14:paraId="2B639B99">
            <w:pPr>
              <w:spacing w:after="0" w:line="38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刊播日期</w:t>
            </w:r>
          </w:p>
        </w:tc>
        <w:tc>
          <w:tcPr>
            <w:tcW w:w="4993" w:type="dxa"/>
            <w:gridSpan w:val="6"/>
            <w:vAlign w:val="center"/>
          </w:tcPr>
          <w:p w14:paraId="73D3F444">
            <w:pPr>
              <w:spacing w:after="0" w:line="260" w:lineRule="exact"/>
              <w:rPr>
                <w:rFonts w:hint="default" w:ascii="Times New Roman" w:hAnsi="Times New Roman" w:eastAsia="方正仿宋_GBK" w:cs="Times New Roman"/>
                <w:szCs w:val="21"/>
                <w:lang w:val="en-US" w:eastAsia="zh-CN"/>
              </w:rPr>
            </w:pPr>
            <w:r>
              <w:rPr>
                <w:rFonts w:hint="eastAsia" w:ascii="方正仿宋_GBK" w:hAnsi="方正仿宋_GBK" w:eastAsia="方正仿宋_GBK"/>
                <w:spacing w:val="-5"/>
                <w:sz w:val="24"/>
                <w:lang w:val="en-US" w:eastAsia="zh-CN"/>
              </w:rPr>
              <w:t>2025年4月19日</w:t>
            </w:r>
          </w:p>
        </w:tc>
      </w:tr>
      <w:tr w14:paraId="4E085F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6" w:hRule="atLeast"/>
        </w:trPr>
        <w:tc>
          <w:tcPr>
            <w:tcW w:w="1824" w:type="dxa"/>
            <w:vMerge w:val="restart"/>
            <w:vAlign w:val="center"/>
          </w:tcPr>
          <w:p w14:paraId="7AC6524C">
            <w:pPr>
              <w:spacing w:after="0" w:line="340" w:lineRule="exact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 w:eastAsia="方正黑体_GBK" w:cs="方正黑体_GBK"/>
                <w:sz w:val="24"/>
                <w:szCs w:val="21"/>
              </w:rPr>
              <w:t>新媒体作品填报网址</w:t>
            </w:r>
          </w:p>
        </w:tc>
        <w:tc>
          <w:tcPr>
            <w:tcW w:w="3531" w:type="dxa"/>
            <w:gridSpan w:val="6"/>
            <w:vMerge w:val="restart"/>
            <w:vAlign w:val="center"/>
          </w:tcPr>
          <w:p w14:paraId="599F630C">
            <w:pPr>
              <w:spacing w:after="0" w:line="260" w:lineRule="exact"/>
              <w:rPr>
                <w:rFonts w:hint="default" w:ascii="Times New Roman" w:hAnsi="Times New Roman" w:eastAsia="方正仿宋_GBK"/>
                <w:sz w:val="28"/>
                <w:lang w:val="en-US" w:eastAsia="zh-CN"/>
              </w:rPr>
            </w:pPr>
          </w:p>
        </w:tc>
        <w:tc>
          <w:tcPr>
            <w:tcW w:w="4993" w:type="dxa"/>
            <w:gridSpan w:val="6"/>
            <w:vAlign w:val="center"/>
          </w:tcPr>
          <w:p w14:paraId="2108EA36">
            <w:pPr>
              <w:spacing w:after="0" w:line="260" w:lineRule="exact"/>
              <w:rPr>
                <w:rFonts w:ascii="Times New Roman" w:hAnsi="Times New Roman" w:eastAsia="华文中宋"/>
                <w:sz w:val="28"/>
              </w:rPr>
            </w:pPr>
            <w:r>
              <w:rPr>
                <w:rFonts w:hint="eastAsia" w:ascii="方正黑体_GBK" w:hAnsi="Times New Roman" w:eastAsia="方正黑体_GBK"/>
                <w:sz w:val="24"/>
                <w:szCs w:val="21"/>
              </w:rPr>
              <w:t>中央宣传部“三好作品”</w:t>
            </w:r>
            <w:r>
              <w:rPr>
                <w:rFonts w:hint="eastAsia" w:ascii="Times New Roman" w:hAnsi="Times New Roman" w:eastAsia="华文中宋"/>
                <w:sz w:val="28"/>
              </w:rPr>
              <w:t xml:space="preserve">  是</w:t>
            </w:r>
            <w:r>
              <w:rPr>
                <w:rFonts w:hint="eastAsia" w:ascii="华文中宋" w:hAnsi="华文中宋" w:eastAsia="华文中宋"/>
                <w:sz w:val="28"/>
              </w:rPr>
              <w:t>□ 否</w:t>
            </w:r>
            <w:r>
              <w:rPr>
                <w:rFonts w:hint="eastAsia" w:ascii="华文中宋" w:hAnsi="华文中宋" w:eastAsia="华文中宋"/>
                <w:sz w:val="28"/>
                <w:lang w:eastAsia="zh-CN"/>
              </w:rPr>
              <w:t>☑</w:t>
            </w:r>
          </w:p>
        </w:tc>
      </w:tr>
      <w:tr w14:paraId="49D676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exact"/>
        </w:trPr>
        <w:tc>
          <w:tcPr>
            <w:tcW w:w="1824" w:type="dxa"/>
            <w:vMerge w:val="continue"/>
            <w:vAlign w:val="center"/>
          </w:tcPr>
          <w:p w14:paraId="2D758CF0">
            <w:pPr>
              <w:spacing w:after="0" w:line="340" w:lineRule="exact"/>
              <w:rPr>
                <w:rFonts w:ascii="Times New Roman" w:hAnsi="Times New Roman" w:eastAsia="方正黑体_GBK" w:cs="方正黑体_GBK"/>
                <w:sz w:val="24"/>
                <w:szCs w:val="21"/>
              </w:rPr>
            </w:pPr>
          </w:p>
        </w:tc>
        <w:tc>
          <w:tcPr>
            <w:tcW w:w="3531" w:type="dxa"/>
            <w:gridSpan w:val="6"/>
            <w:vMerge w:val="continue"/>
            <w:vAlign w:val="center"/>
          </w:tcPr>
          <w:p w14:paraId="789D8A7B">
            <w:pPr>
              <w:spacing w:after="0" w:line="260" w:lineRule="exact"/>
              <w:rPr>
                <w:rFonts w:ascii="Times New Roman" w:hAnsi="Times New Roman" w:eastAsia="方正仿宋_GBK" w:cs="仿宋"/>
                <w:sz w:val="24"/>
                <w:szCs w:val="18"/>
              </w:rPr>
            </w:pPr>
          </w:p>
        </w:tc>
        <w:tc>
          <w:tcPr>
            <w:tcW w:w="4993" w:type="dxa"/>
            <w:gridSpan w:val="6"/>
            <w:vAlign w:val="center"/>
          </w:tcPr>
          <w:p w14:paraId="0B214756">
            <w:pPr>
              <w:spacing w:after="0" w:line="260" w:lineRule="exact"/>
              <w:rPr>
                <w:rFonts w:ascii="Times New Roman" w:hAnsi="Times New Roman" w:eastAsia="华文中宋"/>
                <w:sz w:val="28"/>
              </w:rPr>
            </w:pPr>
            <w:r>
              <w:rPr>
                <w:rFonts w:hint="eastAsia" w:ascii="方正黑体_GBK" w:hAnsi="Times New Roman" w:eastAsia="方正黑体_GBK"/>
                <w:sz w:val="24"/>
                <w:szCs w:val="21"/>
              </w:rPr>
              <w:t xml:space="preserve">市委宣传部“三好作品” </w:t>
            </w:r>
            <w:r>
              <w:rPr>
                <w:rFonts w:hint="eastAsia" w:ascii="Times New Roman" w:hAnsi="Times New Roman" w:eastAsia="华文中宋"/>
                <w:sz w:val="24"/>
                <w:szCs w:val="21"/>
              </w:rPr>
              <w:t xml:space="preserve"> </w:t>
            </w:r>
            <w:r>
              <w:rPr>
                <w:rFonts w:hint="eastAsia" w:ascii="Times New Roman" w:hAnsi="Times New Roman" w:eastAsia="华文中宋"/>
                <w:sz w:val="28"/>
              </w:rPr>
              <w:t>是</w:t>
            </w:r>
            <w:r>
              <w:rPr>
                <w:rFonts w:hint="eastAsia" w:ascii="华文中宋" w:hAnsi="华文中宋" w:eastAsia="华文中宋"/>
                <w:sz w:val="28"/>
                <w:lang w:eastAsia="zh-CN"/>
              </w:rPr>
              <w:t>☑</w:t>
            </w:r>
            <w:r>
              <w:rPr>
                <w:rFonts w:hint="eastAsia" w:ascii="华文中宋" w:hAnsi="华文中宋" w:eastAsia="华文中宋"/>
                <w:sz w:val="28"/>
              </w:rPr>
              <w:t xml:space="preserve"> 否□</w:t>
            </w:r>
          </w:p>
        </w:tc>
      </w:tr>
      <w:tr w14:paraId="46ECB0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60" w:hRule="atLeast"/>
        </w:trPr>
        <w:tc>
          <w:tcPr>
            <w:tcW w:w="1824" w:type="dxa"/>
            <w:vAlign w:val="center"/>
          </w:tcPr>
          <w:p w14:paraId="4A21B934">
            <w:pPr>
              <w:spacing w:after="0" w:line="34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作品简介</w:t>
            </w:r>
          </w:p>
        </w:tc>
        <w:tc>
          <w:tcPr>
            <w:tcW w:w="8524" w:type="dxa"/>
            <w:gridSpan w:val="12"/>
            <w:vAlign w:val="center"/>
          </w:tcPr>
          <w:p w14:paraId="16BAEC16">
            <w:pPr>
              <w:bidi w:val="0"/>
              <w:ind w:firstLine="480" w:firstLineChars="200"/>
              <w:rPr>
                <w:rFonts w:ascii="Times New Roman" w:hAnsi="Times New Roman" w:eastAsia="方正仿宋_GBK"/>
                <w:szCs w:val="28"/>
              </w:rPr>
            </w:pPr>
            <w:r>
              <w:rPr>
                <w:rFonts w:ascii="Segoe UI" w:hAnsi="Segoe UI" w:eastAsia="Segoe UI" w:cs="Segoe UI"/>
                <w:i w:val="0"/>
                <w:iCs w:val="0"/>
                <w:caps w:val="0"/>
                <w:color w:val="0D0D0D"/>
                <w:spacing w:val="0"/>
                <w:sz w:val="24"/>
                <w:szCs w:val="24"/>
                <w:shd w:val="clear" w:fill="FFFFFF"/>
              </w:rPr>
              <w:t>《一件“传家宝” 几代红色情》讲述1934年黔东独立师师长王光泽在川河盖突围时，将随身大刀赠予救命恩人吴荣友的感人故事。这把长76厘米、刀刃带缺口的“传家宝”，历经吴家三代90年珍藏，见证了红军与百姓的鱼水深情。刀身红绸浸染血迹，刀锋仍显寒光，象征着革命意志的坚韧。如今，90多岁的吴华兴老人决定将其捐献国家，让这把承载着红色基因的大刀永传革命故事，弘扬拥军爱民的优良传统，成为传承红色精神的历史见证。</w:t>
            </w:r>
          </w:p>
        </w:tc>
      </w:tr>
      <w:tr w14:paraId="097A61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56" w:hRule="exact"/>
        </w:trPr>
        <w:tc>
          <w:tcPr>
            <w:tcW w:w="1824" w:type="dxa"/>
            <w:vAlign w:val="center"/>
          </w:tcPr>
          <w:p w14:paraId="0016042E">
            <w:pPr>
              <w:spacing w:after="0" w:line="34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社会效果</w:t>
            </w:r>
          </w:p>
        </w:tc>
        <w:tc>
          <w:tcPr>
            <w:tcW w:w="8524" w:type="dxa"/>
            <w:gridSpan w:val="12"/>
            <w:vAlign w:val="center"/>
          </w:tcPr>
          <w:p w14:paraId="54EF6D6A">
            <w:pPr>
              <w:spacing w:after="0" w:line="340" w:lineRule="exact"/>
              <w:ind w:firstLine="480" w:firstLineChars="200"/>
              <w:rPr>
                <w:rFonts w:hint="eastAsia" w:ascii="Times New Roman" w:hAnsi="Times New Roman" w:eastAsia="方正仿宋_GBK"/>
                <w:sz w:val="24"/>
                <w:szCs w:val="28"/>
                <w:lang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8"/>
                <w:lang w:eastAsia="zh-CN"/>
              </w:rPr>
              <w:t>该新闻报道在秀山县一经播出，备受社会各界的关注，并在各社会团体、学校社区掀起了一轮“讲好红色故事”的活动，让拥军爱民的“鱼水深情”得以发扬光大。同时，该作品在全市范围也得到了一定的传播影响力，凭借着过硬的新闻质量，</w:t>
            </w:r>
            <w:bookmarkStart w:id="0" w:name="_GoBack"/>
            <w:bookmarkEnd w:id="0"/>
            <w:r>
              <w:rPr>
                <w:rFonts w:hint="eastAsia" w:ascii="Times New Roman" w:hAnsi="Times New Roman" w:eastAsia="方正仿宋_GBK"/>
                <w:sz w:val="24"/>
                <w:szCs w:val="28"/>
                <w:lang w:eastAsia="zh-CN"/>
              </w:rPr>
              <w:t>该新闻报道还获得了市级三好作品荣誉。</w:t>
            </w:r>
          </w:p>
        </w:tc>
      </w:tr>
      <w:tr w14:paraId="19F500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9" w:hRule="exact"/>
        </w:trPr>
        <w:tc>
          <w:tcPr>
            <w:tcW w:w="1824" w:type="dxa"/>
            <w:vMerge w:val="restart"/>
            <w:vAlign w:val="center"/>
          </w:tcPr>
          <w:p w14:paraId="284F80C2">
            <w:pPr>
              <w:spacing w:after="0" w:line="32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传播数据</w:t>
            </w:r>
          </w:p>
        </w:tc>
        <w:tc>
          <w:tcPr>
            <w:tcW w:w="2568" w:type="dxa"/>
            <w:gridSpan w:val="5"/>
            <w:vMerge w:val="restart"/>
            <w:vAlign w:val="center"/>
          </w:tcPr>
          <w:p w14:paraId="69FD0A9D">
            <w:pPr>
              <w:spacing w:after="0" w:line="420" w:lineRule="exact"/>
              <w:rPr>
                <w:rFonts w:ascii="方正楷体_GBK" w:hAnsi="Times New Roman" w:eastAsia="方正楷体_GBK"/>
                <w:sz w:val="24"/>
                <w:szCs w:val="28"/>
              </w:rPr>
            </w:pPr>
            <w:r>
              <w:rPr>
                <w:rFonts w:hint="eastAsia" w:ascii="方正楷体_GBK" w:hAnsi="Times New Roman" w:eastAsia="方正楷体_GBK"/>
                <w:sz w:val="24"/>
                <w:szCs w:val="28"/>
              </w:rPr>
              <w:t>新媒体传播平台网址</w:t>
            </w:r>
          </w:p>
        </w:tc>
        <w:tc>
          <w:tcPr>
            <w:tcW w:w="5956" w:type="dxa"/>
            <w:gridSpan w:val="7"/>
            <w:tcBorders>
              <w:bottom w:val="single" w:color="auto" w:sz="4" w:space="0"/>
            </w:tcBorders>
            <w:vAlign w:val="center"/>
          </w:tcPr>
          <w:p w14:paraId="741ACC2B">
            <w:pPr>
              <w:numPr>
                <w:ilvl w:val="0"/>
                <w:numId w:val="0"/>
              </w:numPr>
              <w:spacing w:after="0" w:line="320" w:lineRule="exact"/>
              <w:rPr>
                <w:rFonts w:hint="eastAsia" w:ascii="Times New Roman" w:hAnsi="Times New Roman" w:eastAsia="方正仿宋_GBK" w:cs="仿宋"/>
                <w:sz w:val="24"/>
                <w:szCs w:val="18"/>
              </w:rPr>
            </w:pPr>
            <w:r>
              <w:rPr>
                <w:rFonts w:hint="eastAsia" w:ascii="Times New Roman" w:hAnsi="Times New Roman" w:eastAsia="方正仿宋_GBK" w:cs="仿宋"/>
                <w:sz w:val="24"/>
                <w:szCs w:val="18"/>
              </w:rPr>
              <w:t>http://bg.zgcqxs.net/index.asp?Fid=16185&amp;Nid=13848</w:t>
            </w:r>
          </w:p>
        </w:tc>
      </w:tr>
      <w:tr w14:paraId="54B903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98" w:hRule="exact"/>
        </w:trPr>
        <w:tc>
          <w:tcPr>
            <w:tcW w:w="1824" w:type="dxa"/>
            <w:vMerge w:val="continue"/>
            <w:vAlign w:val="center"/>
          </w:tcPr>
          <w:p w14:paraId="0CEE1EDF">
            <w:pPr>
              <w:pStyle w:val="3"/>
              <w:spacing w:after="0" w:line="320" w:lineRule="exact"/>
              <w:rPr>
                <w:rFonts w:ascii="方正仿宋_GBK" w:eastAsia="方正仿宋_GBK"/>
              </w:rPr>
            </w:pPr>
          </w:p>
        </w:tc>
        <w:tc>
          <w:tcPr>
            <w:tcW w:w="2568" w:type="dxa"/>
            <w:gridSpan w:val="5"/>
            <w:vMerge w:val="continue"/>
            <w:vAlign w:val="center"/>
          </w:tcPr>
          <w:p w14:paraId="74C9B573">
            <w:pPr>
              <w:spacing w:after="0" w:line="420" w:lineRule="exact"/>
              <w:rPr>
                <w:rFonts w:ascii="Times New Roman" w:hAnsi="Times New Roman" w:eastAsia="方正仿宋_GBK"/>
                <w:sz w:val="24"/>
                <w:szCs w:val="28"/>
              </w:rPr>
            </w:pPr>
          </w:p>
        </w:tc>
        <w:tc>
          <w:tcPr>
            <w:tcW w:w="5956" w:type="dxa"/>
            <w:gridSpan w:val="7"/>
            <w:tcBorders>
              <w:bottom w:val="single" w:color="auto" w:sz="4" w:space="0"/>
            </w:tcBorders>
            <w:vAlign w:val="center"/>
          </w:tcPr>
          <w:p w14:paraId="4B8844F6">
            <w:pPr>
              <w:spacing w:after="0" w:line="420" w:lineRule="exact"/>
              <w:rPr>
                <w:rFonts w:hint="eastAsia" w:ascii="Times New Roman" w:hAnsi="Times New Roman" w:eastAsia="方正仿宋_GBK" w:cs="仿宋"/>
                <w:sz w:val="24"/>
                <w:szCs w:val="18"/>
              </w:rPr>
            </w:pPr>
            <w:r>
              <w:rPr>
                <w:rFonts w:hint="eastAsia" w:ascii="Times New Roman" w:hAnsi="Times New Roman" w:eastAsia="方正仿宋_GBK" w:cs="仿宋"/>
                <w:sz w:val="24"/>
                <w:szCs w:val="18"/>
              </w:rPr>
              <w:t>http://www.zgcqxs.net/show/news/115074.html</w:t>
            </w:r>
          </w:p>
          <w:p w14:paraId="7F33A0AF">
            <w:pPr>
              <w:spacing w:after="0" w:line="420" w:lineRule="exact"/>
              <w:rPr>
                <w:rFonts w:hint="eastAsia" w:ascii="Times New Roman" w:hAnsi="Times New Roman" w:eastAsia="方正仿宋_GBK" w:cs="仿宋"/>
                <w:sz w:val="24"/>
                <w:szCs w:val="18"/>
              </w:rPr>
            </w:pPr>
          </w:p>
        </w:tc>
      </w:tr>
      <w:tr w14:paraId="16EE32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7" w:hRule="exact"/>
        </w:trPr>
        <w:tc>
          <w:tcPr>
            <w:tcW w:w="1824" w:type="dxa"/>
            <w:vMerge w:val="continue"/>
            <w:vAlign w:val="center"/>
          </w:tcPr>
          <w:p w14:paraId="79190B1D">
            <w:pPr>
              <w:spacing w:after="0" w:line="32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</w:p>
        </w:tc>
        <w:tc>
          <w:tcPr>
            <w:tcW w:w="2568" w:type="dxa"/>
            <w:gridSpan w:val="5"/>
            <w:vMerge w:val="continue"/>
            <w:tcBorders>
              <w:bottom w:val="single" w:color="auto" w:sz="4" w:space="0"/>
            </w:tcBorders>
            <w:vAlign w:val="center"/>
          </w:tcPr>
          <w:p w14:paraId="4B26C1CB">
            <w:pPr>
              <w:spacing w:after="0" w:line="420" w:lineRule="exact"/>
              <w:rPr>
                <w:rFonts w:ascii="方正楷体_GBK" w:hAnsi="Times New Roman" w:eastAsia="方正楷体_GBK"/>
                <w:sz w:val="24"/>
                <w:szCs w:val="28"/>
              </w:rPr>
            </w:pPr>
          </w:p>
        </w:tc>
        <w:tc>
          <w:tcPr>
            <w:tcW w:w="5956" w:type="dxa"/>
            <w:gridSpan w:val="7"/>
            <w:tcBorders>
              <w:bottom w:val="single" w:color="auto" w:sz="4" w:space="0"/>
            </w:tcBorders>
            <w:vAlign w:val="center"/>
          </w:tcPr>
          <w:p w14:paraId="5DC0F6D7">
            <w:pPr>
              <w:spacing w:after="0" w:line="420" w:lineRule="exact"/>
              <w:rPr>
                <w:rFonts w:hint="eastAsia" w:ascii="Times New Roman" w:hAnsi="Times New Roman" w:eastAsia="方正仿宋_GBK" w:cs="仿宋"/>
                <w:sz w:val="24"/>
                <w:szCs w:val="18"/>
              </w:rPr>
            </w:pPr>
            <w:r>
              <w:rPr>
                <w:rFonts w:hint="eastAsia" w:ascii="Times New Roman" w:hAnsi="Times New Roman" w:eastAsia="方正仿宋_GBK" w:cs="仿宋"/>
                <w:sz w:val="24"/>
                <w:szCs w:val="18"/>
              </w:rPr>
              <w:t>https://h5.cqliving.com/info/detail/5000261435.html?cid=5000261435&amp;f=10&amp;sp=source_share</w:t>
            </w:r>
          </w:p>
          <w:p w14:paraId="1677F179">
            <w:pPr>
              <w:spacing w:after="0" w:line="420" w:lineRule="exact"/>
              <w:rPr>
                <w:rFonts w:ascii="Times New Roman" w:hAnsi="Times New Roman" w:eastAsia="方正仿宋_GBK"/>
                <w:sz w:val="24"/>
                <w:szCs w:val="28"/>
              </w:rPr>
            </w:pPr>
          </w:p>
        </w:tc>
      </w:tr>
      <w:tr w14:paraId="627908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4" w:hRule="exact"/>
        </w:trPr>
        <w:tc>
          <w:tcPr>
            <w:tcW w:w="1824" w:type="dxa"/>
            <w:vMerge w:val="continue"/>
            <w:tcBorders>
              <w:bottom w:val="single" w:color="auto" w:sz="4" w:space="0"/>
            </w:tcBorders>
            <w:vAlign w:val="center"/>
          </w:tcPr>
          <w:p w14:paraId="1F5AAFC8">
            <w:pPr>
              <w:spacing w:after="0" w:line="34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</w:p>
        </w:tc>
        <w:tc>
          <w:tcPr>
            <w:tcW w:w="1571" w:type="dxa"/>
            <w:tcBorders>
              <w:bottom w:val="single" w:color="auto" w:sz="4" w:space="0"/>
            </w:tcBorders>
            <w:vAlign w:val="center"/>
          </w:tcPr>
          <w:p w14:paraId="6E5664EB">
            <w:pPr>
              <w:spacing w:after="0" w:line="360" w:lineRule="exact"/>
              <w:jc w:val="center"/>
              <w:rPr>
                <w:rFonts w:ascii="方正楷体_GBK" w:hAnsi="Times New Roman" w:eastAsia="方正楷体_GBK"/>
                <w:sz w:val="24"/>
                <w:szCs w:val="28"/>
              </w:rPr>
            </w:pPr>
            <w:r>
              <w:rPr>
                <w:rFonts w:hint="eastAsia" w:ascii="方正楷体_GBK" w:hAnsi="Times New Roman" w:eastAsia="方正楷体_GBK"/>
                <w:sz w:val="24"/>
                <w:szCs w:val="28"/>
              </w:rPr>
              <w:t>阅读量（浏览量、点击量）</w:t>
            </w:r>
          </w:p>
        </w:tc>
        <w:tc>
          <w:tcPr>
            <w:tcW w:w="997" w:type="dxa"/>
            <w:gridSpan w:val="4"/>
            <w:tcBorders>
              <w:bottom w:val="single" w:color="auto" w:sz="4" w:space="0"/>
            </w:tcBorders>
            <w:vAlign w:val="center"/>
          </w:tcPr>
          <w:p w14:paraId="7D2DA091">
            <w:pPr>
              <w:spacing w:after="0" w:line="360" w:lineRule="exact"/>
              <w:jc w:val="center"/>
              <w:rPr>
                <w:rFonts w:hint="default" w:ascii="Times New Roman" w:hAnsi="Times New Roman" w:eastAsia="方正仿宋_GBK"/>
                <w:sz w:val="24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8"/>
                <w:lang w:val="en-US" w:eastAsia="zh-CN"/>
              </w:rPr>
              <w:t>3.6万</w:t>
            </w:r>
          </w:p>
        </w:tc>
        <w:tc>
          <w:tcPr>
            <w:tcW w:w="1285" w:type="dxa"/>
            <w:gridSpan w:val="2"/>
            <w:tcBorders>
              <w:bottom w:val="single" w:color="auto" w:sz="4" w:space="0"/>
            </w:tcBorders>
            <w:vAlign w:val="center"/>
          </w:tcPr>
          <w:p w14:paraId="2012E8BE">
            <w:pPr>
              <w:spacing w:after="0" w:line="360" w:lineRule="exact"/>
              <w:jc w:val="center"/>
              <w:rPr>
                <w:rFonts w:ascii="方正楷体_GBK" w:hAnsi="Times New Roman" w:eastAsia="方正楷体_GBK"/>
                <w:sz w:val="24"/>
                <w:szCs w:val="28"/>
              </w:rPr>
            </w:pPr>
            <w:r>
              <w:rPr>
                <w:rFonts w:hint="eastAsia" w:ascii="方正楷体_GBK" w:hAnsi="Times New Roman" w:eastAsia="方正楷体_GBK"/>
                <w:sz w:val="24"/>
                <w:szCs w:val="28"/>
              </w:rPr>
              <w:t>转载量</w:t>
            </w:r>
          </w:p>
        </w:tc>
        <w:tc>
          <w:tcPr>
            <w:tcW w:w="1284" w:type="dxa"/>
            <w:tcBorders>
              <w:bottom w:val="single" w:color="auto" w:sz="4" w:space="0"/>
            </w:tcBorders>
            <w:vAlign w:val="center"/>
          </w:tcPr>
          <w:p w14:paraId="64670CCD">
            <w:pPr>
              <w:spacing w:after="0" w:line="360" w:lineRule="exact"/>
              <w:jc w:val="center"/>
              <w:rPr>
                <w:rFonts w:hint="default" w:ascii="方正楷体_GBK" w:hAnsi="Times New Roman" w:eastAsia="方正楷体_GBK"/>
                <w:sz w:val="24"/>
                <w:szCs w:val="28"/>
                <w:lang w:val="en-US" w:eastAsia="zh-CN"/>
              </w:rPr>
            </w:pPr>
            <w:r>
              <w:rPr>
                <w:rFonts w:hint="eastAsia" w:ascii="方正楷体_GBK" w:hAnsi="Times New Roman" w:eastAsia="方正楷体_GBK"/>
                <w:sz w:val="24"/>
                <w:szCs w:val="28"/>
                <w:lang w:val="en-US" w:eastAsia="zh-CN"/>
              </w:rPr>
              <w:t>1389</w:t>
            </w:r>
          </w:p>
        </w:tc>
        <w:tc>
          <w:tcPr>
            <w:tcW w:w="1285" w:type="dxa"/>
            <w:gridSpan w:val="3"/>
            <w:tcBorders>
              <w:bottom w:val="single" w:color="auto" w:sz="4" w:space="0"/>
            </w:tcBorders>
            <w:vAlign w:val="center"/>
          </w:tcPr>
          <w:p w14:paraId="365BC24C">
            <w:pPr>
              <w:spacing w:after="0" w:line="360" w:lineRule="exact"/>
              <w:jc w:val="center"/>
              <w:rPr>
                <w:rFonts w:ascii="方正楷体_GBK" w:hAnsi="Times New Roman" w:eastAsia="方正楷体_GBK"/>
                <w:sz w:val="24"/>
                <w:szCs w:val="28"/>
              </w:rPr>
            </w:pPr>
            <w:r>
              <w:rPr>
                <w:rFonts w:hint="eastAsia" w:ascii="方正楷体_GBK" w:hAnsi="Times New Roman" w:eastAsia="方正楷体_GBK"/>
                <w:sz w:val="24"/>
                <w:szCs w:val="28"/>
              </w:rPr>
              <w:t>互动量</w:t>
            </w:r>
          </w:p>
        </w:tc>
        <w:tc>
          <w:tcPr>
            <w:tcW w:w="2102" w:type="dxa"/>
            <w:tcBorders>
              <w:bottom w:val="single" w:color="auto" w:sz="4" w:space="0"/>
            </w:tcBorders>
            <w:vAlign w:val="center"/>
          </w:tcPr>
          <w:p w14:paraId="17356023">
            <w:pPr>
              <w:spacing w:after="0" w:line="360" w:lineRule="exact"/>
              <w:jc w:val="center"/>
              <w:rPr>
                <w:rFonts w:hint="default" w:ascii="Times New Roman" w:hAnsi="Times New Roman" w:eastAsia="方正仿宋_GBK"/>
                <w:sz w:val="24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8"/>
                <w:lang w:val="en-US" w:eastAsia="zh-CN"/>
              </w:rPr>
              <w:t>69</w:t>
            </w:r>
          </w:p>
        </w:tc>
      </w:tr>
      <w:tr w14:paraId="23C0A1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35" w:hRule="exact"/>
        </w:trPr>
        <w:tc>
          <w:tcPr>
            <w:tcW w:w="1824" w:type="dxa"/>
            <w:tcBorders>
              <w:bottom w:val="single" w:color="auto" w:sz="4" w:space="0"/>
            </w:tcBorders>
            <w:vAlign w:val="center"/>
          </w:tcPr>
          <w:p w14:paraId="6CFF6BC8">
            <w:pPr>
              <w:spacing w:after="0" w:line="34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推荐理由</w:t>
            </w:r>
          </w:p>
        </w:tc>
        <w:tc>
          <w:tcPr>
            <w:tcW w:w="8524" w:type="dxa"/>
            <w:gridSpan w:val="12"/>
            <w:tcBorders>
              <w:bottom w:val="single" w:color="auto" w:sz="4" w:space="0"/>
            </w:tcBorders>
            <w:vAlign w:val="center"/>
          </w:tcPr>
          <w:p w14:paraId="351CA374">
            <w:pPr>
              <w:spacing w:after="0" w:line="420" w:lineRule="exact"/>
              <w:ind w:firstLine="476"/>
              <w:rPr>
                <w:rFonts w:hint="eastAsia" w:ascii="方正仿宋_GBK" w:eastAsia="方正仿宋_GBK"/>
                <w:spacing w:val="-13"/>
                <w:sz w:val="24"/>
                <w:lang w:eastAsia="zh-CN"/>
              </w:rPr>
            </w:pPr>
            <w:r>
              <w:rPr>
                <w:rFonts w:hint="eastAsia" w:ascii="方正仿宋_GBK" w:eastAsia="方正仿宋_GBK"/>
                <w:spacing w:val="-13"/>
                <w:sz w:val="24"/>
              </w:rPr>
              <w:t>这篇通讯以“传家宝”大刀为线索，串联起红军师长王光泽与吴荣友一家跨越90年的红色情缘。文章通过细腻的叙事，展现了革命年代军民鱼水情深的感人故事，以及三代人守护红色信物、传承革命精神的坚定信念。大刀不仅是武器，更是信仰的象征，承载着革命先烈的无畏牺牲与百姓的赤诚拥戴。如今，吴华兴老人将宝刀捐献国家，让红色基因代代相传。全文情感真挚、历史厚重，既具史料价值，又富教育意义，值得推荐</w:t>
            </w:r>
            <w:r>
              <w:rPr>
                <w:rFonts w:hint="eastAsia" w:ascii="方正仿宋_GBK" w:eastAsia="方正仿宋_GBK"/>
                <w:spacing w:val="-13"/>
                <w:sz w:val="24"/>
                <w:lang w:eastAsia="zh-CN"/>
              </w:rPr>
              <w:t>。</w:t>
            </w:r>
          </w:p>
          <w:p w14:paraId="5433F060">
            <w:pPr>
              <w:spacing w:after="0" w:line="420" w:lineRule="exact"/>
              <w:ind w:firstLine="476"/>
              <w:rPr>
                <w:rFonts w:hint="eastAsia" w:ascii="方正仿宋_GBK" w:eastAsia="方正仿宋_GBK"/>
                <w:spacing w:val="-13"/>
                <w:sz w:val="24"/>
                <w:lang w:eastAsia="zh-CN"/>
              </w:rPr>
            </w:pPr>
          </w:p>
          <w:p w14:paraId="4151807B">
            <w:pPr>
              <w:wordWrap w:val="0"/>
              <w:spacing w:after="0" w:line="260" w:lineRule="exact"/>
              <w:jc w:val="right"/>
              <w:rPr>
                <w:rFonts w:hint="default" w:ascii="Times New Roman" w:hAnsi="Times New Roman" w:eastAsia="方正仿宋_GBK"/>
                <w:sz w:val="24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华文中宋"/>
                <w:spacing w:val="-2"/>
                <w:sz w:val="24"/>
                <w:szCs w:val="28"/>
              </w:rPr>
              <w:t xml:space="preserve">                     </w:t>
            </w:r>
            <w:r>
              <w:rPr>
                <w:rFonts w:hint="eastAsia" w:ascii="Times New Roman" w:hAnsi="Times New Roman" w:eastAsia="方正仿宋_GBK"/>
                <w:sz w:val="24"/>
                <w:szCs w:val="28"/>
              </w:rPr>
              <w:t>签名：</w:t>
            </w:r>
            <w:r>
              <w:rPr>
                <w:rFonts w:hint="eastAsia" w:ascii="Times New Roman" w:hAnsi="Times New Roman" w:eastAsia="方正仿宋_GBK"/>
                <w:sz w:val="24"/>
                <w:szCs w:val="28"/>
                <w:lang w:val="en-US" w:eastAsia="zh-CN"/>
              </w:rPr>
              <w:t xml:space="preserve">               </w:t>
            </w:r>
          </w:p>
          <w:p w14:paraId="3A7ECBA1">
            <w:pPr>
              <w:spacing w:after="0" w:line="260" w:lineRule="exact"/>
              <w:jc w:val="center"/>
              <w:rPr>
                <w:rFonts w:ascii="Times New Roman" w:hAnsi="Times New Roman" w:eastAsia="方正仿宋_GBK"/>
                <w:sz w:val="24"/>
                <w:szCs w:val="28"/>
              </w:rPr>
            </w:pPr>
            <w:r>
              <w:rPr>
                <w:rFonts w:hint="eastAsia" w:ascii="Times New Roman" w:hAnsi="Times New Roman" w:eastAsia="方正仿宋_GBK" w:cs="Times New Roman"/>
                <w:sz w:val="24"/>
                <w:szCs w:val="28"/>
                <w:lang w:val="en-US" w:eastAsia="zh-CN"/>
              </w:rPr>
              <w:t xml:space="preserve">                                             </w:t>
            </w:r>
            <w:r>
              <w:rPr>
                <w:rFonts w:ascii="Times New Roman" w:hAnsi="Times New Roman" w:eastAsia="方正仿宋_GBK" w:cs="Times New Roman"/>
                <w:sz w:val="24"/>
                <w:szCs w:val="28"/>
              </w:rPr>
              <w:t>202</w:t>
            </w:r>
            <w:r>
              <w:rPr>
                <w:rFonts w:hint="eastAsia" w:ascii="Times New Roman" w:hAnsi="Times New Roman" w:eastAsia="方正仿宋_GBK" w:cs="Times New Roman"/>
                <w:sz w:val="24"/>
                <w:szCs w:val="28"/>
                <w:lang w:val="en-US" w:eastAsia="zh-CN"/>
              </w:rPr>
              <w:t>6</w:t>
            </w:r>
            <w:r>
              <w:rPr>
                <w:rFonts w:ascii="Times New Roman" w:hAnsi="Times New Roman" w:eastAsia="方正仿宋_GBK" w:cs="Times New Roman"/>
                <w:sz w:val="24"/>
                <w:szCs w:val="28"/>
              </w:rPr>
              <w:t xml:space="preserve">年 </w:t>
            </w:r>
            <w:r>
              <w:rPr>
                <w:rFonts w:hint="eastAsia" w:ascii="Times New Roman" w:hAnsi="Times New Roman" w:eastAsia="方正仿宋_GBK" w:cs="Times New Roman"/>
                <w:sz w:val="24"/>
                <w:szCs w:val="28"/>
                <w:lang w:val="en-US" w:eastAsia="zh-CN"/>
              </w:rPr>
              <w:t>3</w:t>
            </w:r>
            <w:r>
              <w:rPr>
                <w:rFonts w:ascii="Times New Roman" w:hAnsi="Times New Roman" w:eastAsia="方正仿宋_GBK" w:cs="Times New Roman"/>
                <w:sz w:val="24"/>
                <w:szCs w:val="28"/>
              </w:rPr>
              <w:t xml:space="preserve"> 月 </w:t>
            </w:r>
            <w:r>
              <w:rPr>
                <w:rFonts w:hint="eastAsia" w:ascii="Times New Roman" w:hAnsi="Times New Roman" w:eastAsia="方正仿宋_GBK" w:cs="Times New Roman"/>
                <w:sz w:val="24"/>
                <w:szCs w:val="28"/>
                <w:lang w:val="en-US" w:eastAsia="zh-CN"/>
              </w:rPr>
              <w:t>11</w:t>
            </w:r>
            <w:r>
              <w:rPr>
                <w:rFonts w:ascii="Times New Roman" w:hAnsi="Times New Roman" w:eastAsia="方正仿宋_GBK" w:cs="Times New Roman"/>
                <w:sz w:val="24"/>
                <w:szCs w:val="28"/>
              </w:rPr>
              <w:t>日</w:t>
            </w:r>
          </w:p>
        </w:tc>
      </w:tr>
      <w:tr w14:paraId="050FF0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exact"/>
        </w:trPr>
        <w:tc>
          <w:tcPr>
            <w:tcW w:w="18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3AFD09B">
            <w:pPr>
              <w:spacing w:after="0" w:line="340" w:lineRule="exact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联系人</w:t>
            </w:r>
          </w:p>
        </w:tc>
        <w:tc>
          <w:tcPr>
            <w:tcW w:w="159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70DAEF70">
            <w:pPr>
              <w:spacing w:after="0" w:line="340" w:lineRule="exact"/>
              <w:rPr>
                <w:rFonts w:hint="default" w:ascii="Times New Roman" w:hAnsi="Times New Roman" w:eastAsia="方正黑体_GBK" w:cs="方正黑体_GBK"/>
                <w:sz w:val="28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  <w:lang w:val="en-US" w:eastAsia="zh-CN"/>
              </w:rPr>
              <w:t>田坤</w:t>
            </w:r>
          </w:p>
        </w:tc>
        <w:tc>
          <w:tcPr>
            <w:tcW w:w="7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6ADB2D10">
            <w:pPr>
              <w:spacing w:after="0" w:line="340" w:lineRule="exact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电话</w:t>
            </w:r>
          </w:p>
        </w:tc>
        <w:tc>
          <w:tcPr>
            <w:tcW w:w="2847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64C8C603">
            <w:pPr>
              <w:spacing w:after="0" w:line="340" w:lineRule="exact"/>
              <w:rPr>
                <w:rFonts w:hint="default" w:ascii="Times New Roman" w:hAnsi="Times New Roman" w:eastAsia="方正黑体_GBK" w:cs="方正黑体_GBK"/>
                <w:sz w:val="28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  <w:lang w:val="en-US" w:eastAsia="zh-CN"/>
              </w:rPr>
              <w:t>023-76672905</w:t>
            </w:r>
          </w:p>
        </w:tc>
        <w:tc>
          <w:tcPr>
            <w:tcW w:w="91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162983C4">
            <w:pPr>
              <w:spacing w:after="0" w:line="340" w:lineRule="exact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手机</w:t>
            </w:r>
          </w:p>
        </w:tc>
        <w:tc>
          <w:tcPr>
            <w:tcW w:w="2382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D8DDA6B">
            <w:pPr>
              <w:spacing w:after="0" w:line="340" w:lineRule="exact"/>
              <w:rPr>
                <w:rFonts w:hint="default" w:ascii="Times New Roman" w:hAnsi="Times New Roman" w:eastAsia="方正黑体_GBK" w:cs="方正黑体_GBK"/>
                <w:sz w:val="28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  <w:lang w:val="en-US" w:eastAsia="zh-CN"/>
              </w:rPr>
              <w:t>17784053776</w:t>
            </w:r>
          </w:p>
        </w:tc>
      </w:tr>
      <w:tr w14:paraId="4A0B19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exact"/>
        </w:trPr>
        <w:tc>
          <w:tcPr>
            <w:tcW w:w="18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3A6F54A">
            <w:pPr>
              <w:spacing w:after="0" w:line="340" w:lineRule="exact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地址</w:t>
            </w:r>
          </w:p>
        </w:tc>
        <w:tc>
          <w:tcPr>
            <w:tcW w:w="5228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B478F88">
            <w:pPr>
              <w:spacing w:after="0" w:line="340" w:lineRule="exact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  <w:lang w:val="en-US" w:eastAsia="zh-CN"/>
              </w:rPr>
              <w:t>重庆市秀山自治县渝秀大道195号秀山融媒体中心401</w:t>
            </w: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7F4CDA5">
            <w:pPr>
              <w:spacing w:after="0" w:line="340" w:lineRule="exact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邮箱</w:t>
            </w:r>
          </w:p>
        </w:tc>
        <w:tc>
          <w:tcPr>
            <w:tcW w:w="238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DD8CF33">
            <w:pPr>
              <w:spacing w:after="0" w:line="340" w:lineRule="exact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  <w:lang w:val="en-US" w:eastAsia="zh-CN"/>
              </w:rPr>
              <w:t>753594771@qq.com</w:t>
            </w:r>
          </w:p>
        </w:tc>
      </w:tr>
    </w:tbl>
    <w:p w14:paraId="4706E367">
      <w:pPr>
        <w:pStyle w:val="9"/>
        <w:spacing w:after="0"/>
        <w:ind w:left="0" w:leftChars="0" w:firstLine="0" w:firstLineChars="0"/>
      </w:pPr>
    </w:p>
    <w:sectPr>
      <w:headerReference r:id="rId5" w:type="default"/>
      <w:footerReference r:id="rId6" w:type="default"/>
      <w:pgSz w:w="11906" w:h="16838"/>
      <w:pgMar w:top="2098" w:right="1446" w:bottom="1984" w:left="1446" w:header="851" w:footer="1247" w:gutter="0"/>
      <w:cols w:space="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altName w:val="微软雅黑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黑体_GBK">
    <w:altName w:val="微软雅黑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方正楷体_GBK">
    <w:altName w:val="微软雅黑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46670A">
    <w:pPr>
      <w:pStyle w:val="5"/>
      <w:jc w:val="center"/>
      <w:rPr>
        <w:rFonts w:hint="eastAsia" w:ascii="宋体" w:hAnsi="宋体" w:cs="仿宋_GB2312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FBDB13">
    <w:pPr>
      <w:bidi w:val="0"/>
      <w:rPr>
        <w:rFonts w:hint="eastAsia"/>
        <w:lang w:eastAsia="zh-CN"/>
      </w:rPr>
    </w:pPr>
    <w:r>
      <w:rPr>
        <w:rFonts w:hint="eastAsia"/>
        <w:lang w:eastAsia="zh-CN"/>
      </w:rPr>
      <w:tab/>
    </w:r>
    <w:r>
      <w:rPr>
        <w:rFonts w:hint="eastAsia"/>
        <w:lang w:eastAsia="zh-CN"/>
      </w:rPr>
      <w:tab/>
    </w:r>
    <w:r>
      <w:rPr>
        <w:rFonts w:hint="eastAsia"/>
        <w:lang w:eastAsia="zh-CN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lhYjZiYjYxM2I0MGM0YzkxZjA5YjQ4NWE3ZDE3OWYifQ=="/>
    <w:docVar w:name="KSO_WPS_MARK_KEY" w:val="e869c1ea-dd35-4c0d-9a73-1f2e6a3a3de5"/>
  </w:docVars>
  <w:rsids>
    <w:rsidRoot w:val="00D2444B"/>
    <w:rsid w:val="00001BE8"/>
    <w:rsid w:val="00033D52"/>
    <w:rsid w:val="000438AE"/>
    <w:rsid w:val="0004679F"/>
    <w:rsid w:val="00073959"/>
    <w:rsid w:val="00081B6C"/>
    <w:rsid w:val="000A3F86"/>
    <w:rsid w:val="000B37C5"/>
    <w:rsid w:val="000C587D"/>
    <w:rsid w:val="00121349"/>
    <w:rsid w:val="00124712"/>
    <w:rsid w:val="00142EA8"/>
    <w:rsid w:val="00180A58"/>
    <w:rsid w:val="00195D9B"/>
    <w:rsid w:val="001A3405"/>
    <w:rsid w:val="001A415F"/>
    <w:rsid w:val="002024D5"/>
    <w:rsid w:val="00204C86"/>
    <w:rsid w:val="002150C4"/>
    <w:rsid w:val="002264B8"/>
    <w:rsid w:val="002332AA"/>
    <w:rsid w:val="0024266C"/>
    <w:rsid w:val="00247207"/>
    <w:rsid w:val="00267563"/>
    <w:rsid w:val="002A47F5"/>
    <w:rsid w:val="002B3D5F"/>
    <w:rsid w:val="002C6823"/>
    <w:rsid w:val="002D5B46"/>
    <w:rsid w:val="002E25F1"/>
    <w:rsid w:val="002E718D"/>
    <w:rsid w:val="002F2CA1"/>
    <w:rsid w:val="003029B5"/>
    <w:rsid w:val="00305925"/>
    <w:rsid w:val="00307810"/>
    <w:rsid w:val="00311BE8"/>
    <w:rsid w:val="003120FC"/>
    <w:rsid w:val="003157F7"/>
    <w:rsid w:val="00323203"/>
    <w:rsid w:val="00324B69"/>
    <w:rsid w:val="00326E8F"/>
    <w:rsid w:val="00371806"/>
    <w:rsid w:val="00483107"/>
    <w:rsid w:val="00484633"/>
    <w:rsid w:val="004B54B5"/>
    <w:rsid w:val="004B612F"/>
    <w:rsid w:val="004C0E0B"/>
    <w:rsid w:val="004C7EDD"/>
    <w:rsid w:val="004D1B1F"/>
    <w:rsid w:val="004E185F"/>
    <w:rsid w:val="004F12EB"/>
    <w:rsid w:val="005058DF"/>
    <w:rsid w:val="00505A75"/>
    <w:rsid w:val="005304E3"/>
    <w:rsid w:val="00556E09"/>
    <w:rsid w:val="0059206D"/>
    <w:rsid w:val="005B18BF"/>
    <w:rsid w:val="005F3C35"/>
    <w:rsid w:val="00607E17"/>
    <w:rsid w:val="00624B50"/>
    <w:rsid w:val="006626C1"/>
    <w:rsid w:val="006839F0"/>
    <w:rsid w:val="00695853"/>
    <w:rsid w:val="006A0B98"/>
    <w:rsid w:val="006F1D4A"/>
    <w:rsid w:val="006F6BEA"/>
    <w:rsid w:val="00713C4B"/>
    <w:rsid w:val="00723D1C"/>
    <w:rsid w:val="00732BD0"/>
    <w:rsid w:val="00733AA6"/>
    <w:rsid w:val="00744FA5"/>
    <w:rsid w:val="0075080E"/>
    <w:rsid w:val="00750E7F"/>
    <w:rsid w:val="007537C6"/>
    <w:rsid w:val="00774F3D"/>
    <w:rsid w:val="007823F0"/>
    <w:rsid w:val="007838F1"/>
    <w:rsid w:val="00790D28"/>
    <w:rsid w:val="007B58FE"/>
    <w:rsid w:val="007D510F"/>
    <w:rsid w:val="00816CA4"/>
    <w:rsid w:val="0082124D"/>
    <w:rsid w:val="0082343E"/>
    <w:rsid w:val="008268DF"/>
    <w:rsid w:val="008317A9"/>
    <w:rsid w:val="008540DC"/>
    <w:rsid w:val="00867F94"/>
    <w:rsid w:val="008B7005"/>
    <w:rsid w:val="008C5285"/>
    <w:rsid w:val="00916310"/>
    <w:rsid w:val="00934EC8"/>
    <w:rsid w:val="009506C7"/>
    <w:rsid w:val="00950B0B"/>
    <w:rsid w:val="009B32FB"/>
    <w:rsid w:val="009B7895"/>
    <w:rsid w:val="009D0020"/>
    <w:rsid w:val="009D555C"/>
    <w:rsid w:val="009F0DB5"/>
    <w:rsid w:val="009F2130"/>
    <w:rsid w:val="00A069D2"/>
    <w:rsid w:val="00A0757B"/>
    <w:rsid w:val="00A36303"/>
    <w:rsid w:val="00A6008B"/>
    <w:rsid w:val="00A60F15"/>
    <w:rsid w:val="00A75156"/>
    <w:rsid w:val="00AA2032"/>
    <w:rsid w:val="00AA6780"/>
    <w:rsid w:val="00AB715C"/>
    <w:rsid w:val="00AC02E8"/>
    <w:rsid w:val="00AD61FB"/>
    <w:rsid w:val="00AD6701"/>
    <w:rsid w:val="00AD7D2A"/>
    <w:rsid w:val="00AF532A"/>
    <w:rsid w:val="00B04521"/>
    <w:rsid w:val="00B20677"/>
    <w:rsid w:val="00B4135A"/>
    <w:rsid w:val="00B46735"/>
    <w:rsid w:val="00B80649"/>
    <w:rsid w:val="00B901AE"/>
    <w:rsid w:val="00B95FB4"/>
    <w:rsid w:val="00BA55B1"/>
    <w:rsid w:val="00BD4CEE"/>
    <w:rsid w:val="00BE670E"/>
    <w:rsid w:val="00C15512"/>
    <w:rsid w:val="00C2092C"/>
    <w:rsid w:val="00C4193B"/>
    <w:rsid w:val="00C51268"/>
    <w:rsid w:val="00C57970"/>
    <w:rsid w:val="00C63F04"/>
    <w:rsid w:val="00CA7B19"/>
    <w:rsid w:val="00CD3C17"/>
    <w:rsid w:val="00CE6ECF"/>
    <w:rsid w:val="00D0585B"/>
    <w:rsid w:val="00D224DB"/>
    <w:rsid w:val="00D2444B"/>
    <w:rsid w:val="00D30DFD"/>
    <w:rsid w:val="00D56C73"/>
    <w:rsid w:val="00DB4B32"/>
    <w:rsid w:val="00DC6447"/>
    <w:rsid w:val="00DF5469"/>
    <w:rsid w:val="00DF6D3F"/>
    <w:rsid w:val="00E0770D"/>
    <w:rsid w:val="00E12699"/>
    <w:rsid w:val="00E71D38"/>
    <w:rsid w:val="00E73DB5"/>
    <w:rsid w:val="00E7573E"/>
    <w:rsid w:val="00EE176E"/>
    <w:rsid w:val="00EE178C"/>
    <w:rsid w:val="00EF28F9"/>
    <w:rsid w:val="00EF5E98"/>
    <w:rsid w:val="00EF6679"/>
    <w:rsid w:val="00F15D8B"/>
    <w:rsid w:val="00F44517"/>
    <w:rsid w:val="00F70973"/>
    <w:rsid w:val="00F81A6B"/>
    <w:rsid w:val="00FA700C"/>
    <w:rsid w:val="00FC5D4B"/>
    <w:rsid w:val="00FD409E"/>
    <w:rsid w:val="00FD54C0"/>
    <w:rsid w:val="00FD7B41"/>
    <w:rsid w:val="00FD7FFA"/>
    <w:rsid w:val="00FE1BC7"/>
    <w:rsid w:val="017763E6"/>
    <w:rsid w:val="0183485E"/>
    <w:rsid w:val="0196601E"/>
    <w:rsid w:val="02733157"/>
    <w:rsid w:val="05B93485"/>
    <w:rsid w:val="060E4AE5"/>
    <w:rsid w:val="06777851"/>
    <w:rsid w:val="07B866E0"/>
    <w:rsid w:val="07FB57CC"/>
    <w:rsid w:val="08B472E5"/>
    <w:rsid w:val="0DFF76EE"/>
    <w:rsid w:val="0E406831"/>
    <w:rsid w:val="0E8A1A16"/>
    <w:rsid w:val="0F661726"/>
    <w:rsid w:val="0FC8628E"/>
    <w:rsid w:val="0FE37480"/>
    <w:rsid w:val="10B65D95"/>
    <w:rsid w:val="115563FC"/>
    <w:rsid w:val="11EE6B89"/>
    <w:rsid w:val="12495A43"/>
    <w:rsid w:val="12DC046F"/>
    <w:rsid w:val="134B0590"/>
    <w:rsid w:val="14441A71"/>
    <w:rsid w:val="146C2251"/>
    <w:rsid w:val="14D17287"/>
    <w:rsid w:val="15157DCB"/>
    <w:rsid w:val="1518499D"/>
    <w:rsid w:val="163D79C0"/>
    <w:rsid w:val="167F2E86"/>
    <w:rsid w:val="17F05D6B"/>
    <w:rsid w:val="187A6EA4"/>
    <w:rsid w:val="188221C4"/>
    <w:rsid w:val="189B2419"/>
    <w:rsid w:val="18AD378E"/>
    <w:rsid w:val="1A09162B"/>
    <w:rsid w:val="1AF41F83"/>
    <w:rsid w:val="1C187423"/>
    <w:rsid w:val="1D02214E"/>
    <w:rsid w:val="1D9368A7"/>
    <w:rsid w:val="1DF0665E"/>
    <w:rsid w:val="1E8F6CE3"/>
    <w:rsid w:val="1EFC151A"/>
    <w:rsid w:val="1F515EB6"/>
    <w:rsid w:val="1F9B04F6"/>
    <w:rsid w:val="20505195"/>
    <w:rsid w:val="212F71EE"/>
    <w:rsid w:val="21552C33"/>
    <w:rsid w:val="218419F6"/>
    <w:rsid w:val="21AD6D40"/>
    <w:rsid w:val="222F68EC"/>
    <w:rsid w:val="223D6BE1"/>
    <w:rsid w:val="23215FAB"/>
    <w:rsid w:val="244C301B"/>
    <w:rsid w:val="24774D57"/>
    <w:rsid w:val="25315ABC"/>
    <w:rsid w:val="2573512A"/>
    <w:rsid w:val="25A93FC5"/>
    <w:rsid w:val="268B65B8"/>
    <w:rsid w:val="26AD1590"/>
    <w:rsid w:val="27E93292"/>
    <w:rsid w:val="28A65729"/>
    <w:rsid w:val="28C50CF6"/>
    <w:rsid w:val="29E76546"/>
    <w:rsid w:val="2C0F28D9"/>
    <w:rsid w:val="2CB40E02"/>
    <w:rsid w:val="2D012886"/>
    <w:rsid w:val="2E385BE3"/>
    <w:rsid w:val="2E6B2A3C"/>
    <w:rsid w:val="2E991DE3"/>
    <w:rsid w:val="2EBE62D9"/>
    <w:rsid w:val="2F1B0556"/>
    <w:rsid w:val="302A6AD1"/>
    <w:rsid w:val="304A48E7"/>
    <w:rsid w:val="30FE1366"/>
    <w:rsid w:val="31DE6354"/>
    <w:rsid w:val="32603485"/>
    <w:rsid w:val="32F26CA9"/>
    <w:rsid w:val="33393D03"/>
    <w:rsid w:val="33F740CE"/>
    <w:rsid w:val="34496D9C"/>
    <w:rsid w:val="350A11F7"/>
    <w:rsid w:val="38A547BD"/>
    <w:rsid w:val="3A530269"/>
    <w:rsid w:val="3A9564F5"/>
    <w:rsid w:val="3ABC0D03"/>
    <w:rsid w:val="3BC56960"/>
    <w:rsid w:val="3D6850E4"/>
    <w:rsid w:val="3DF771EA"/>
    <w:rsid w:val="3E14565B"/>
    <w:rsid w:val="3EA42E21"/>
    <w:rsid w:val="3F345B73"/>
    <w:rsid w:val="3F5B5BD6"/>
    <w:rsid w:val="3F650802"/>
    <w:rsid w:val="3FA12DAF"/>
    <w:rsid w:val="41456B3D"/>
    <w:rsid w:val="41C433D8"/>
    <w:rsid w:val="4286740D"/>
    <w:rsid w:val="42BC4BDD"/>
    <w:rsid w:val="446D772E"/>
    <w:rsid w:val="46955624"/>
    <w:rsid w:val="47F765F1"/>
    <w:rsid w:val="47FB5623"/>
    <w:rsid w:val="482963CC"/>
    <w:rsid w:val="486B2E75"/>
    <w:rsid w:val="49570E97"/>
    <w:rsid w:val="49B9273F"/>
    <w:rsid w:val="49D111CB"/>
    <w:rsid w:val="4A886594"/>
    <w:rsid w:val="4AAE7D70"/>
    <w:rsid w:val="4BCF0118"/>
    <w:rsid w:val="4CB42C7D"/>
    <w:rsid w:val="4E176CD8"/>
    <w:rsid w:val="4E570E05"/>
    <w:rsid w:val="4E634DC6"/>
    <w:rsid w:val="4EA31C0C"/>
    <w:rsid w:val="50197C50"/>
    <w:rsid w:val="5081334A"/>
    <w:rsid w:val="50AF069C"/>
    <w:rsid w:val="516C13B8"/>
    <w:rsid w:val="51CB566A"/>
    <w:rsid w:val="55506ED2"/>
    <w:rsid w:val="55A073F3"/>
    <w:rsid w:val="572E40DA"/>
    <w:rsid w:val="57636794"/>
    <w:rsid w:val="57F22BD0"/>
    <w:rsid w:val="58FC1D80"/>
    <w:rsid w:val="591D2692"/>
    <w:rsid w:val="594D1D84"/>
    <w:rsid w:val="59673684"/>
    <w:rsid w:val="5971064D"/>
    <w:rsid w:val="597A2035"/>
    <w:rsid w:val="59BF4838"/>
    <w:rsid w:val="5B3F1217"/>
    <w:rsid w:val="5C9D3B4C"/>
    <w:rsid w:val="5D99194B"/>
    <w:rsid w:val="5DF023A8"/>
    <w:rsid w:val="5EA06637"/>
    <w:rsid w:val="5EF907E6"/>
    <w:rsid w:val="6207406F"/>
    <w:rsid w:val="62B85E3D"/>
    <w:rsid w:val="6465796C"/>
    <w:rsid w:val="65070E59"/>
    <w:rsid w:val="666112BC"/>
    <w:rsid w:val="684348D0"/>
    <w:rsid w:val="68442DFB"/>
    <w:rsid w:val="6A3D1B5C"/>
    <w:rsid w:val="6A47497B"/>
    <w:rsid w:val="6B4972C6"/>
    <w:rsid w:val="6D7F622B"/>
    <w:rsid w:val="6E15315E"/>
    <w:rsid w:val="6F785C3A"/>
    <w:rsid w:val="6FB72105"/>
    <w:rsid w:val="70191AD1"/>
    <w:rsid w:val="71616C2C"/>
    <w:rsid w:val="717B4757"/>
    <w:rsid w:val="71E32DE1"/>
    <w:rsid w:val="723B4C9F"/>
    <w:rsid w:val="73916B94"/>
    <w:rsid w:val="75D53221"/>
    <w:rsid w:val="76A872C8"/>
    <w:rsid w:val="76B8433D"/>
    <w:rsid w:val="772D4DA9"/>
    <w:rsid w:val="77BF2348"/>
    <w:rsid w:val="796F2B0A"/>
    <w:rsid w:val="7AB804C9"/>
    <w:rsid w:val="7ABC1A93"/>
    <w:rsid w:val="7B7B75F9"/>
    <w:rsid w:val="7BBF2C5B"/>
    <w:rsid w:val="7C0D37D8"/>
    <w:rsid w:val="7D1C5F58"/>
    <w:rsid w:val="7D2708CA"/>
    <w:rsid w:val="7F3D5E34"/>
    <w:rsid w:val="7F9B2359"/>
    <w:rsid w:val="7FFF4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qFormat="1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qFormat="1" w:uiPriority="99" w:semiHidden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qFormat="1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80" w:lineRule="exact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link w:val="16"/>
    <w:unhideWhenUsed/>
    <w:qFormat/>
    <w:uiPriority w:val="99"/>
    <w:pPr>
      <w:spacing w:after="120"/>
    </w:pPr>
    <w:rPr>
      <w:rFonts w:eastAsia="仿宋_GB2312"/>
      <w:sz w:val="16"/>
      <w:szCs w:val="16"/>
    </w:rPr>
  </w:style>
  <w:style w:type="paragraph" w:styleId="3">
    <w:name w:val="Body Text"/>
    <w:basedOn w:val="1"/>
    <w:next w:val="1"/>
    <w:unhideWhenUsed/>
    <w:qFormat/>
    <w:uiPriority w:val="0"/>
    <w:pPr>
      <w:spacing w:after="120"/>
    </w:pPr>
    <w:rPr>
      <w:rFonts w:eastAsia="仿宋_GB2312" w:cs="Times New Roman"/>
      <w:sz w:val="32"/>
      <w:szCs w:val="24"/>
    </w:rPr>
  </w:style>
  <w:style w:type="paragraph" w:styleId="4">
    <w:name w:val="Balloon Text"/>
    <w:basedOn w:val="1"/>
    <w:link w:val="18"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eastAsia="仿宋_GB2312"/>
      <w:sz w:val="18"/>
      <w:szCs w:val="18"/>
    </w:rPr>
  </w:style>
  <w:style w:type="paragraph" w:styleId="7">
    <w:name w:val="Normal (Web)"/>
    <w:basedOn w:val="1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8">
    <w:name w:val="Title"/>
    <w:basedOn w:val="1"/>
    <w:next w:val="1"/>
    <w:qFormat/>
    <w:uiPriority w:val="0"/>
    <w:pPr>
      <w:jc w:val="center"/>
    </w:pPr>
    <w:rPr>
      <w:rFonts w:ascii="宋体" w:hAnsi="Times New Roman" w:cs="Times New Roman"/>
      <w:b/>
      <w:snapToGrid w:val="0"/>
      <w:sz w:val="36"/>
      <w:szCs w:val="20"/>
    </w:rPr>
  </w:style>
  <w:style w:type="paragraph" w:styleId="9">
    <w:name w:val="Body Text First Indent"/>
    <w:basedOn w:val="3"/>
    <w:unhideWhenUsed/>
    <w:qFormat/>
    <w:uiPriority w:val="0"/>
    <w:pPr>
      <w:spacing w:line="594" w:lineRule="exact"/>
      <w:ind w:firstLine="200" w:firstLineChars="200"/>
    </w:pPr>
    <w:rPr>
      <w:rFonts w:eastAsia="方正仿宋_GBK"/>
    </w:rPr>
  </w:style>
  <w:style w:type="character" w:styleId="12">
    <w:name w:val="Hyperlink"/>
    <w:qFormat/>
    <w:uiPriority w:val="99"/>
    <w:rPr>
      <w:color w:val="0000FF"/>
      <w:u w:val="single"/>
    </w:rPr>
  </w:style>
  <w:style w:type="paragraph" w:customStyle="1" w:styleId="13">
    <w:name w:val="列出段落1"/>
    <w:basedOn w:val="1"/>
    <w:qFormat/>
    <w:uiPriority w:val="34"/>
    <w:pPr>
      <w:ind w:firstLine="420" w:firstLineChars="200"/>
    </w:pPr>
  </w:style>
  <w:style w:type="paragraph" w:customStyle="1" w:styleId="14">
    <w:name w:val="p0"/>
    <w:basedOn w:val="1"/>
    <w:qFormat/>
    <w:uiPriority w:val="0"/>
    <w:pPr>
      <w:widowControl/>
    </w:pPr>
    <w:rPr>
      <w:rFonts w:ascii="Times New Roman" w:hAnsi="Times New Roman" w:cs="Times New Roman"/>
      <w:kern w:val="0"/>
      <w:szCs w:val="21"/>
    </w:rPr>
  </w:style>
  <w:style w:type="paragraph" w:customStyle="1" w:styleId="15">
    <w:name w:val="Table Paragraph"/>
    <w:basedOn w:val="1"/>
    <w:qFormat/>
    <w:uiPriority w:val="1"/>
    <w:pPr>
      <w:autoSpaceDE w:val="0"/>
      <w:autoSpaceDN w:val="0"/>
    </w:pPr>
    <w:rPr>
      <w:rFonts w:ascii="仿宋" w:hAnsi="仿宋" w:eastAsia="仿宋" w:cs="仿宋"/>
      <w:kern w:val="0"/>
      <w:sz w:val="22"/>
      <w:lang w:val="zh-CN" w:bidi="zh-CN"/>
    </w:rPr>
  </w:style>
  <w:style w:type="character" w:customStyle="1" w:styleId="16">
    <w:name w:val="正文文本 3 字符"/>
    <w:link w:val="2"/>
    <w:qFormat/>
    <w:uiPriority w:val="99"/>
    <w:rPr>
      <w:rFonts w:eastAsia="仿宋_GB2312"/>
      <w:sz w:val="16"/>
      <w:szCs w:val="16"/>
    </w:rPr>
  </w:style>
  <w:style w:type="character" w:customStyle="1" w:styleId="17">
    <w:name w:val="页眉 字符"/>
    <w:link w:val="6"/>
    <w:qFormat/>
    <w:uiPriority w:val="99"/>
    <w:rPr>
      <w:rFonts w:eastAsia="仿宋_GB2312"/>
      <w:sz w:val="18"/>
      <w:szCs w:val="18"/>
    </w:rPr>
  </w:style>
  <w:style w:type="character" w:customStyle="1" w:styleId="18">
    <w:name w:val="批注框文本 字符"/>
    <w:link w:val="4"/>
    <w:semiHidden/>
    <w:qFormat/>
    <w:uiPriority w:val="99"/>
    <w:rPr>
      <w:rFonts w:ascii="Calibri" w:hAnsi="Calibri" w:eastAsia="宋体" w:cs="黑体"/>
      <w:kern w:val="2"/>
      <w:sz w:val="18"/>
      <w:szCs w:val="18"/>
    </w:rPr>
  </w:style>
  <w:style w:type="character" w:customStyle="1" w:styleId="19">
    <w:name w:val="页脚 字符"/>
    <w:link w:val="5"/>
    <w:qFormat/>
    <w:uiPriority w:val="99"/>
    <w:rPr>
      <w:rFonts w:ascii="Calibri" w:hAnsi="Calibri" w:eastAsia="宋体" w:cs="黑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970</Words>
  <Characters>1296</Characters>
  <Lines>80</Lines>
  <Paragraphs>22</Paragraphs>
  <TotalTime>1</TotalTime>
  <ScaleCrop>false</ScaleCrop>
  <LinksUpToDate>false</LinksUpToDate>
  <CharactersWithSpaces>1402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2025-03-17T03:48:00Z</dcterms:created>
  <dc:creator>xb21cn</dc:creator>
  <cp:lastModifiedBy>Administrator</cp:lastModifiedBy>
  <cp:lastPrinted>2026-03-11T01:16:00Z</cp:lastPrinted>
  <dcterms:modified xsi:type="dcterms:W3CDTF">2026-03-12T08:06:31Z</dcterms:modified>
  <dc:title>中共重庆市委宣传部文件</dc:title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91B7876BE11746A0A3ED3367D508D0D9_13</vt:lpwstr>
  </property>
  <property fmtid="{D5CDD505-2E9C-101B-9397-08002B2CF9AE}" pid="4" name="KSOTemplateDocerSaveRecord">
    <vt:lpwstr>eyJoZGlkIjoiOGVjNjA3YmQwYTFiY2QyNjc4NjlmNGNlNjI0NGVhNjMiLCJ1c2VySWQiOiI0ODQxODMzMzQifQ==</vt:lpwstr>
  </property>
</Properties>
</file>